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75"/>
        <w:gridCol w:w="6475"/>
      </w:tblGrid>
      <w:tr w:rsidR="00926901" w:rsidTr="004E65DB">
        <w:tc>
          <w:tcPr>
            <w:tcW w:w="6475" w:type="dxa"/>
            <w:shd w:val="clear" w:color="auto" w:fill="C5E0B3" w:themeFill="accent6" w:themeFillTint="66"/>
          </w:tcPr>
          <w:p w:rsidR="00926901" w:rsidRPr="004E65DB" w:rsidRDefault="004E65DB">
            <w:pPr>
              <w:rPr>
                <w:b/>
              </w:rPr>
            </w:pPr>
            <w:r w:rsidRPr="004E65DB">
              <w:rPr>
                <w:b/>
              </w:rPr>
              <w:t>Question</w:t>
            </w:r>
          </w:p>
        </w:tc>
        <w:tc>
          <w:tcPr>
            <w:tcW w:w="6475" w:type="dxa"/>
            <w:shd w:val="clear" w:color="auto" w:fill="C5E0B3" w:themeFill="accent6" w:themeFillTint="66"/>
          </w:tcPr>
          <w:p w:rsidR="00926901" w:rsidRPr="004E65DB" w:rsidRDefault="004E65DB">
            <w:pPr>
              <w:rPr>
                <w:b/>
              </w:rPr>
            </w:pPr>
            <w:r w:rsidRPr="004E65DB">
              <w:rPr>
                <w:b/>
              </w:rPr>
              <w:t>UAB-specific response</w:t>
            </w:r>
          </w:p>
        </w:tc>
      </w:tr>
      <w:tr w:rsidR="000F2A1C" w:rsidTr="000F2A1C">
        <w:tc>
          <w:tcPr>
            <w:tcW w:w="12950" w:type="dxa"/>
            <w:gridSpan w:val="2"/>
            <w:shd w:val="clear" w:color="auto" w:fill="F2F2F2" w:themeFill="background1" w:themeFillShade="F2"/>
          </w:tcPr>
          <w:p w:rsidR="000F2A1C" w:rsidRPr="004E65DB" w:rsidRDefault="000F2A1C" w:rsidP="000F2A1C">
            <w:pPr>
              <w:rPr>
                <w:b/>
              </w:rPr>
            </w:pPr>
            <w:r w:rsidRPr="004E65DB">
              <w:rPr>
                <w:b/>
                <w:i/>
              </w:rPr>
              <w:t>Regulatory Questions</w:t>
            </w:r>
          </w:p>
        </w:tc>
      </w:tr>
      <w:tr w:rsidR="000F2A1C" w:rsidTr="000F2A1C">
        <w:tc>
          <w:tcPr>
            <w:tcW w:w="6475" w:type="dxa"/>
            <w:shd w:val="clear" w:color="auto" w:fill="auto"/>
          </w:tcPr>
          <w:p w:rsidR="000F2A1C" w:rsidRPr="00E4433B" w:rsidRDefault="000F2A1C" w:rsidP="000F2A1C">
            <w:r>
              <w:t>Is your site affiliated with a Site Management Organization (SMO)?</w:t>
            </w:r>
          </w:p>
        </w:tc>
        <w:tc>
          <w:tcPr>
            <w:tcW w:w="6475" w:type="dxa"/>
            <w:shd w:val="clear" w:color="auto" w:fill="auto"/>
          </w:tcPr>
          <w:p w:rsidR="000F2A1C" w:rsidRPr="00E4433B" w:rsidRDefault="000F2A1C" w:rsidP="000F2A1C">
            <w:r w:rsidRPr="00E4433B">
              <w:t>No</w:t>
            </w:r>
          </w:p>
        </w:tc>
      </w:tr>
      <w:tr w:rsidR="000F2A1C" w:rsidTr="000F2A1C">
        <w:tc>
          <w:tcPr>
            <w:tcW w:w="6475" w:type="dxa"/>
            <w:shd w:val="clear" w:color="auto" w:fill="auto"/>
          </w:tcPr>
          <w:p w:rsidR="000F2A1C" w:rsidRDefault="000F2A1C" w:rsidP="000F2A1C">
            <w:r>
              <w:t>Does your site have a local IRB/IEC?</w:t>
            </w:r>
          </w:p>
        </w:tc>
        <w:tc>
          <w:tcPr>
            <w:tcW w:w="6475" w:type="dxa"/>
            <w:shd w:val="clear" w:color="auto" w:fill="auto"/>
          </w:tcPr>
          <w:p w:rsidR="000F2A1C" w:rsidRDefault="000F2A1C" w:rsidP="000F2A1C">
            <w:r>
              <w:t>Yes</w:t>
            </w:r>
          </w:p>
        </w:tc>
      </w:tr>
      <w:tr w:rsidR="000F2A1C" w:rsidTr="000F2A1C">
        <w:tc>
          <w:tcPr>
            <w:tcW w:w="6475" w:type="dxa"/>
            <w:shd w:val="clear" w:color="auto" w:fill="auto"/>
          </w:tcPr>
          <w:p w:rsidR="000F2A1C" w:rsidRDefault="000F2A1C" w:rsidP="000F2A1C">
            <w:r>
              <w:t>Can your site utilize a central IRB/IEC?</w:t>
            </w:r>
          </w:p>
        </w:tc>
        <w:tc>
          <w:tcPr>
            <w:tcW w:w="6475" w:type="dxa"/>
            <w:shd w:val="clear" w:color="auto" w:fill="auto"/>
          </w:tcPr>
          <w:p w:rsidR="000F2A1C" w:rsidRDefault="000F2A1C" w:rsidP="00EC7F97">
            <w:r>
              <w:t xml:space="preserve">Yes. </w:t>
            </w:r>
            <w:r w:rsidRPr="000F2A1C">
              <w:rPr>
                <w:b/>
                <w:color w:val="0070C0"/>
              </w:rPr>
              <w:t>If we are given the choice, the preference is WCG IRB, as UAB IRB holds a master reliance agreement with them.</w:t>
            </w:r>
            <w:r w:rsidRPr="000F2A1C">
              <w:rPr>
                <w:color w:val="0070C0"/>
              </w:rPr>
              <w:t xml:space="preserve"> </w:t>
            </w:r>
            <w:r>
              <w:t xml:space="preserve">However, we are allowed to use any IRB of record, both commercial (e.g., </w:t>
            </w:r>
            <w:proofErr w:type="spellStart"/>
            <w:r>
              <w:t>Advarra</w:t>
            </w:r>
            <w:proofErr w:type="spellEnd"/>
            <w:r>
              <w:t xml:space="preserve">, Sterling, </w:t>
            </w:r>
            <w:proofErr w:type="spellStart"/>
            <w:r>
              <w:t>etc</w:t>
            </w:r>
            <w:proofErr w:type="spellEnd"/>
            <w:r>
              <w:t xml:space="preserve">) </w:t>
            </w:r>
            <w:r w:rsidR="00EC7F97">
              <w:t>and</w:t>
            </w:r>
            <w:r>
              <w:t xml:space="preserve"> another academic medical center.</w:t>
            </w:r>
          </w:p>
        </w:tc>
      </w:tr>
      <w:tr w:rsidR="000F2A1C" w:rsidTr="000F2A1C">
        <w:tc>
          <w:tcPr>
            <w:tcW w:w="6475" w:type="dxa"/>
            <w:shd w:val="clear" w:color="auto" w:fill="auto"/>
          </w:tcPr>
          <w:p w:rsidR="000F2A1C" w:rsidRDefault="000F2A1C" w:rsidP="000F2A1C">
            <w:r>
              <w:t>How does your site complete reliance agreements for central IRB/IEC?</w:t>
            </w:r>
          </w:p>
        </w:tc>
        <w:tc>
          <w:tcPr>
            <w:tcW w:w="6475" w:type="dxa"/>
            <w:shd w:val="clear" w:color="auto" w:fill="auto"/>
          </w:tcPr>
          <w:p w:rsidR="000F2A1C" w:rsidRDefault="000F2A1C" w:rsidP="000F2A1C">
            <w:r>
              <w:t xml:space="preserve">UAB IRB are members of SMART IRB, </w:t>
            </w:r>
            <w:proofErr w:type="spellStart"/>
            <w:r>
              <w:t>IREx</w:t>
            </w:r>
            <w:proofErr w:type="spellEnd"/>
            <w:r>
              <w:t>, and TIN.</w:t>
            </w:r>
          </w:p>
        </w:tc>
      </w:tr>
      <w:tr w:rsidR="000F2A1C" w:rsidTr="000F2A1C">
        <w:tc>
          <w:tcPr>
            <w:tcW w:w="6475" w:type="dxa"/>
            <w:shd w:val="clear" w:color="auto" w:fill="auto"/>
          </w:tcPr>
          <w:p w:rsidR="000F2A1C" w:rsidRDefault="000F2A1C" w:rsidP="000F2A1C">
            <w:r>
              <w:t xml:space="preserve">If your site can utilize a central IRB/IEC, are there any other regulatory requirements (e.g., institutional review, departmental review, </w:t>
            </w:r>
            <w:proofErr w:type="spellStart"/>
            <w:r>
              <w:t>etc</w:t>
            </w:r>
            <w:proofErr w:type="spellEnd"/>
            <w:r>
              <w:t>?)</w:t>
            </w:r>
          </w:p>
        </w:tc>
        <w:tc>
          <w:tcPr>
            <w:tcW w:w="6475" w:type="dxa"/>
            <w:shd w:val="clear" w:color="auto" w:fill="auto"/>
          </w:tcPr>
          <w:p w:rsidR="000F2A1C" w:rsidRDefault="000F2A1C" w:rsidP="000F2A1C">
            <w:r>
              <w:t xml:space="preserve">Yes. We have an institutional pre-review process that requires internal reviews by various ancillary departments (Pharmacy, Lab, Clinical Billing Office, Radiation Safety, Institutional Biosafety Committee [IBC], </w:t>
            </w:r>
            <w:proofErr w:type="spellStart"/>
            <w:r>
              <w:t>etc</w:t>
            </w:r>
            <w:proofErr w:type="spellEnd"/>
            <w:r>
              <w:t xml:space="preserve">) as applicable. </w:t>
            </w:r>
            <w:r w:rsidRPr="00E4433B">
              <w:rPr>
                <w:b/>
                <w:color w:val="0070C0"/>
              </w:rPr>
              <w:t xml:space="preserve">IBC reviews </w:t>
            </w:r>
            <w:r>
              <w:rPr>
                <w:b/>
                <w:color w:val="0070C0"/>
              </w:rPr>
              <w:t xml:space="preserve">(if applicable) </w:t>
            </w:r>
            <w:r w:rsidRPr="00E4433B">
              <w:rPr>
                <w:b/>
                <w:color w:val="0070C0"/>
              </w:rPr>
              <w:t>must be completed locally via UAB IBC</w:t>
            </w:r>
            <w:r>
              <w:rPr>
                <w:b/>
                <w:color w:val="0070C0"/>
              </w:rPr>
              <w:t xml:space="preserve"> – we cannot use a central IRB’s IBC</w:t>
            </w:r>
            <w:r>
              <w:t xml:space="preserve">. UAB IRB will only provide institutional signoff to use a central IRB once this process has been completed. </w:t>
            </w:r>
          </w:p>
        </w:tc>
      </w:tr>
      <w:tr w:rsidR="000F2A1C" w:rsidTr="000F2A1C">
        <w:tc>
          <w:tcPr>
            <w:tcW w:w="6475" w:type="dxa"/>
            <w:shd w:val="clear" w:color="auto" w:fill="auto"/>
          </w:tcPr>
          <w:p w:rsidR="000F2A1C" w:rsidRDefault="000F2A1C" w:rsidP="000F2A1C">
            <w:r>
              <w:t>In the past 5 years, has the FDA, OHRP, or other organization involved with the Protection of Human Subjects audited your site or affiliates?</w:t>
            </w:r>
          </w:p>
        </w:tc>
        <w:tc>
          <w:tcPr>
            <w:tcW w:w="6475" w:type="dxa"/>
            <w:shd w:val="clear" w:color="auto" w:fill="auto"/>
          </w:tcPr>
          <w:p w:rsidR="000F2A1C" w:rsidRDefault="000F2A1C" w:rsidP="000F2A1C">
            <w:r>
              <w:t>Site – No</w:t>
            </w:r>
          </w:p>
          <w:p w:rsidR="000F2A1C" w:rsidRDefault="000F2A1C" w:rsidP="000F2A1C">
            <w:r>
              <w:t>UAB IRB – No</w:t>
            </w:r>
          </w:p>
          <w:p w:rsidR="000F2A1C" w:rsidRDefault="000F2A1C" w:rsidP="000F2A1C">
            <w:r>
              <w:t>Principal Investigator – Dependent on PI</w:t>
            </w:r>
          </w:p>
          <w:p w:rsidR="000F2A1C" w:rsidRDefault="000F2A1C" w:rsidP="000F2A1C">
            <w:r>
              <w:t>Sub-Investigator – Dependent on investigator</w:t>
            </w:r>
          </w:p>
        </w:tc>
      </w:tr>
      <w:tr w:rsidR="000F2A1C" w:rsidTr="000F2A1C">
        <w:tc>
          <w:tcPr>
            <w:tcW w:w="6475" w:type="dxa"/>
            <w:shd w:val="clear" w:color="auto" w:fill="auto"/>
          </w:tcPr>
          <w:p w:rsidR="000F2A1C" w:rsidRDefault="000F2A1C" w:rsidP="000F2A1C">
            <w:r>
              <w:t>In the past 5 years has the FDA, OHRP, or other organization involved with the Protection of Human Subjects issued an FDA 483 letter or similar sanction following an audit?</w:t>
            </w:r>
          </w:p>
        </w:tc>
        <w:tc>
          <w:tcPr>
            <w:tcW w:w="6475" w:type="dxa"/>
            <w:shd w:val="clear" w:color="auto" w:fill="auto"/>
          </w:tcPr>
          <w:p w:rsidR="000F2A1C" w:rsidRDefault="000F2A1C" w:rsidP="000F2A1C">
            <w:r>
              <w:t>Site – No</w:t>
            </w:r>
          </w:p>
          <w:p w:rsidR="000F2A1C" w:rsidRDefault="000F2A1C" w:rsidP="000F2A1C">
            <w:r>
              <w:t>UAB IRB – No</w:t>
            </w:r>
          </w:p>
          <w:p w:rsidR="000F2A1C" w:rsidRDefault="000F2A1C" w:rsidP="000F2A1C">
            <w:r>
              <w:t>Principal Investigator – Dependent on PI</w:t>
            </w:r>
          </w:p>
          <w:p w:rsidR="000F2A1C" w:rsidRDefault="000F2A1C" w:rsidP="000F2A1C">
            <w:r>
              <w:t>Sub-Investigator – Dependent on investigator</w:t>
            </w:r>
          </w:p>
        </w:tc>
      </w:tr>
      <w:tr w:rsidR="000F2A1C" w:rsidTr="000F2A1C">
        <w:tc>
          <w:tcPr>
            <w:tcW w:w="6475" w:type="dxa"/>
            <w:shd w:val="clear" w:color="auto" w:fill="auto"/>
          </w:tcPr>
          <w:p w:rsidR="000F2A1C" w:rsidRDefault="000F2A1C" w:rsidP="000F2A1C">
            <w:r>
              <w:t>What is the initial IRB submission timeline?</w:t>
            </w:r>
          </w:p>
        </w:tc>
        <w:tc>
          <w:tcPr>
            <w:tcW w:w="6475" w:type="dxa"/>
            <w:shd w:val="clear" w:color="auto" w:fill="auto"/>
          </w:tcPr>
          <w:p w:rsidR="000F2A1C" w:rsidRDefault="000F2A1C" w:rsidP="000F2A1C">
            <w:r>
              <w:t xml:space="preserve">4-6 weeks, inclusive of reviews required for institutional signoff; may be longer if protocol is complex or requires certain ancillary reviews (e.g., Radiation Safety, IBC, </w:t>
            </w:r>
            <w:proofErr w:type="spellStart"/>
            <w:r>
              <w:t>etc</w:t>
            </w:r>
            <w:proofErr w:type="spellEnd"/>
            <w:r>
              <w:t>)</w:t>
            </w:r>
          </w:p>
        </w:tc>
      </w:tr>
      <w:tr w:rsidR="000F2A1C" w:rsidTr="000F2A1C">
        <w:tc>
          <w:tcPr>
            <w:tcW w:w="12950" w:type="dxa"/>
            <w:gridSpan w:val="2"/>
            <w:shd w:val="clear" w:color="auto" w:fill="F2F2F2" w:themeFill="background1" w:themeFillShade="F2"/>
          </w:tcPr>
          <w:p w:rsidR="000F2A1C" w:rsidRDefault="000F2A1C" w:rsidP="000F2A1C">
            <w:r w:rsidRPr="00E4433B">
              <w:rPr>
                <w:b/>
                <w:i/>
              </w:rPr>
              <w:t>Budget Questions</w:t>
            </w:r>
          </w:p>
        </w:tc>
      </w:tr>
      <w:tr w:rsidR="000F2A1C" w:rsidTr="000F2A1C">
        <w:tc>
          <w:tcPr>
            <w:tcW w:w="6475" w:type="dxa"/>
            <w:shd w:val="clear" w:color="auto" w:fill="auto"/>
          </w:tcPr>
          <w:p w:rsidR="000F2A1C" w:rsidRDefault="000F2A1C" w:rsidP="000F2A1C">
            <w:r>
              <w:t>Can the budget/contract be negotiated at the same time as the initial IRB submission?</w:t>
            </w:r>
          </w:p>
        </w:tc>
        <w:tc>
          <w:tcPr>
            <w:tcW w:w="6475" w:type="dxa"/>
            <w:shd w:val="clear" w:color="auto" w:fill="auto"/>
          </w:tcPr>
          <w:p w:rsidR="000F2A1C" w:rsidRDefault="000F2A1C" w:rsidP="000F2A1C">
            <w:r>
              <w:t>Yes</w:t>
            </w:r>
          </w:p>
        </w:tc>
      </w:tr>
      <w:tr w:rsidR="000F2A1C" w:rsidTr="000F2A1C">
        <w:tc>
          <w:tcPr>
            <w:tcW w:w="6475" w:type="dxa"/>
            <w:shd w:val="clear" w:color="auto" w:fill="auto"/>
          </w:tcPr>
          <w:p w:rsidR="000F2A1C" w:rsidRDefault="000F2A1C" w:rsidP="000F2A1C">
            <w:r>
              <w:t>Does a contract have to be executed before IRB approval is granted, or vice versa?</w:t>
            </w:r>
          </w:p>
        </w:tc>
        <w:tc>
          <w:tcPr>
            <w:tcW w:w="6475" w:type="dxa"/>
            <w:shd w:val="clear" w:color="auto" w:fill="auto"/>
          </w:tcPr>
          <w:p w:rsidR="000F2A1C" w:rsidRDefault="000F2A1C" w:rsidP="000F2A1C">
            <w:r>
              <w:t xml:space="preserve">In general: no, although this may be dependent on the IRB (some do require an executed contract before granting full IRB approval). </w:t>
            </w:r>
            <w:r w:rsidRPr="002763E7">
              <w:rPr>
                <w:b/>
                <w:color w:val="0070C0"/>
              </w:rPr>
              <w:t xml:space="preserve">We </w:t>
            </w:r>
            <w:r w:rsidRPr="002763E7">
              <w:rPr>
                <w:b/>
                <w:color w:val="0070C0"/>
              </w:rPr>
              <w:lastRenderedPageBreak/>
              <w:t>do require an executed contract AND IRB approval prior to scheduling the SIV.</w:t>
            </w:r>
          </w:p>
        </w:tc>
      </w:tr>
      <w:tr w:rsidR="000F2A1C" w:rsidTr="000F2A1C">
        <w:tc>
          <w:tcPr>
            <w:tcW w:w="6475" w:type="dxa"/>
            <w:shd w:val="clear" w:color="auto" w:fill="auto"/>
          </w:tcPr>
          <w:p w:rsidR="000F2A1C" w:rsidRDefault="000F2A1C" w:rsidP="000F2A1C">
            <w:r>
              <w:lastRenderedPageBreak/>
              <w:t>What is the contract negotiation timeline? Are any separate agreements needed?</w:t>
            </w:r>
          </w:p>
        </w:tc>
        <w:tc>
          <w:tcPr>
            <w:tcW w:w="6475" w:type="dxa"/>
            <w:shd w:val="clear" w:color="auto" w:fill="auto"/>
          </w:tcPr>
          <w:p w:rsidR="000F2A1C" w:rsidRDefault="00D703DC" w:rsidP="00D703DC">
            <w:pPr>
              <w:tabs>
                <w:tab w:val="left" w:pos="5100"/>
              </w:tabs>
            </w:pPr>
            <w:r>
              <w:t>&lt;&lt;Site specific answer&gt;&gt;</w:t>
            </w:r>
            <w:r>
              <w:tab/>
            </w:r>
            <w:bookmarkStart w:id="0" w:name="_GoBack"/>
            <w:bookmarkEnd w:id="0"/>
          </w:p>
        </w:tc>
      </w:tr>
      <w:tr w:rsidR="000F2A1C" w:rsidTr="00E4433B">
        <w:tc>
          <w:tcPr>
            <w:tcW w:w="12950" w:type="dxa"/>
            <w:gridSpan w:val="2"/>
            <w:shd w:val="clear" w:color="auto" w:fill="F2F2F2" w:themeFill="background1" w:themeFillShade="F2"/>
          </w:tcPr>
          <w:p w:rsidR="000F2A1C" w:rsidRPr="004E65DB" w:rsidRDefault="000F2A1C" w:rsidP="000F2A1C">
            <w:pPr>
              <w:rPr>
                <w:b/>
                <w:i/>
              </w:rPr>
            </w:pPr>
            <w:r w:rsidRPr="004E65DB">
              <w:rPr>
                <w:b/>
                <w:i/>
              </w:rPr>
              <w:t xml:space="preserve">Monitoring &amp; </w:t>
            </w:r>
            <w:r>
              <w:rPr>
                <w:b/>
                <w:i/>
              </w:rPr>
              <w:t>E</w:t>
            </w:r>
            <w:r w:rsidRPr="004E65DB">
              <w:rPr>
                <w:b/>
                <w:i/>
              </w:rPr>
              <w:t xml:space="preserve">lectronic </w:t>
            </w:r>
            <w:r>
              <w:rPr>
                <w:b/>
                <w:i/>
              </w:rPr>
              <w:t>M</w:t>
            </w:r>
            <w:r w:rsidRPr="004E65DB">
              <w:rPr>
                <w:b/>
                <w:i/>
              </w:rPr>
              <w:t xml:space="preserve">edical </w:t>
            </w:r>
            <w:r>
              <w:rPr>
                <w:b/>
                <w:i/>
              </w:rPr>
              <w:t>R</w:t>
            </w:r>
            <w:r w:rsidRPr="004E65DB">
              <w:rPr>
                <w:b/>
                <w:i/>
              </w:rPr>
              <w:t>ecords</w:t>
            </w:r>
          </w:p>
        </w:tc>
      </w:tr>
      <w:tr w:rsidR="000F2A1C" w:rsidTr="00926901">
        <w:tc>
          <w:tcPr>
            <w:tcW w:w="6475" w:type="dxa"/>
          </w:tcPr>
          <w:p w:rsidR="000F2A1C" w:rsidRDefault="000F2A1C" w:rsidP="000F2A1C">
            <w:r>
              <w:t>How are patient data captured at your site?</w:t>
            </w:r>
          </w:p>
        </w:tc>
        <w:tc>
          <w:tcPr>
            <w:tcW w:w="6475" w:type="dxa"/>
          </w:tcPr>
          <w:p w:rsidR="000F2A1C" w:rsidRDefault="000F2A1C" w:rsidP="000F2A1C">
            <w:r>
              <w:t>Both electronic medical records (EMR) &amp; paper research charts</w:t>
            </w:r>
          </w:p>
        </w:tc>
      </w:tr>
      <w:tr w:rsidR="000F2A1C" w:rsidTr="00926901">
        <w:tc>
          <w:tcPr>
            <w:tcW w:w="6475" w:type="dxa"/>
          </w:tcPr>
          <w:p w:rsidR="000F2A1C" w:rsidRDefault="000F2A1C" w:rsidP="000F2A1C">
            <w:r>
              <w:t>Name of EMR system:</w:t>
            </w:r>
          </w:p>
        </w:tc>
        <w:tc>
          <w:tcPr>
            <w:tcW w:w="6475" w:type="dxa"/>
          </w:tcPr>
          <w:p w:rsidR="000F2A1C" w:rsidRDefault="000F2A1C" w:rsidP="000F2A1C">
            <w:r>
              <w:t>Cerner IMPACT</w:t>
            </w:r>
          </w:p>
        </w:tc>
      </w:tr>
      <w:tr w:rsidR="000F2A1C" w:rsidTr="00926901">
        <w:tc>
          <w:tcPr>
            <w:tcW w:w="6475" w:type="dxa"/>
          </w:tcPr>
          <w:p w:rsidR="000F2A1C" w:rsidRDefault="000F2A1C" w:rsidP="000F2A1C">
            <w:r>
              <w:t>Is your EMR 21 CRF Part 11 compliant?</w:t>
            </w:r>
          </w:p>
        </w:tc>
        <w:tc>
          <w:tcPr>
            <w:tcW w:w="6475" w:type="dxa"/>
          </w:tcPr>
          <w:p w:rsidR="000F2A1C" w:rsidRDefault="000F2A1C" w:rsidP="000F2A1C">
            <w:r>
              <w:t>Yes. A memo from UAB HSIS is available if requested.</w:t>
            </w:r>
          </w:p>
        </w:tc>
      </w:tr>
      <w:tr w:rsidR="000F2A1C" w:rsidTr="00926901">
        <w:tc>
          <w:tcPr>
            <w:tcW w:w="6475" w:type="dxa"/>
          </w:tcPr>
          <w:p w:rsidR="000F2A1C" w:rsidRDefault="000F2A1C" w:rsidP="000F2A1C">
            <w:r>
              <w:t>Will monitors have direct access to EMR?</w:t>
            </w:r>
          </w:p>
        </w:tc>
        <w:tc>
          <w:tcPr>
            <w:tcW w:w="6475" w:type="dxa"/>
          </w:tcPr>
          <w:p w:rsidR="000F2A1C" w:rsidRDefault="000F2A1C" w:rsidP="000F2A1C">
            <w:r>
              <w:t>Yes. Monitors will be given a login with a unique ID to access a list of patient records curated by study coordinator. Site staff will submit access request on Monitor’s behalf. Monitor will undergo training before being allowed to access EMR. Monitor’s access will be limited only to the days of the monitor visit, and will be inactivated between those dates. It generally takes 4-6 weeks for requests to be completed by UAB HSIS (both initial and reactivation). Monitors will be required to give an employee ID number in order to receive a username.</w:t>
            </w:r>
          </w:p>
        </w:tc>
      </w:tr>
      <w:tr w:rsidR="000F2A1C" w:rsidTr="000F2A1C">
        <w:tc>
          <w:tcPr>
            <w:tcW w:w="12950" w:type="dxa"/>
            <w:gridSpan w:val="2"/>
            <w:shd w:val="clear" w:color="auto" w:fill="F2F2F2" w:themeFill="background1" w:themeFillShade="F2"/>
          </w:tcPr>
          <w:p w:rsidR="000F2A1C" w:rsidRPr="004E65DB" w:rsidRDefault="000F2A1C" w:rsidP="000F2A1C">
            <w:pPr>
              <w:rPr>
                <w:b/>
                <w:i/>
              </w:rPr>
            </w:pPr>
            <w:r w:rsidRPr="004E65DB">
              <w:rPr>
                <w:b/>
                <w:i/>
              </w:rPr>
              <w:t>Consent Forms &amp; Processes</w:t>
            </w:r>
          </w:p>
        </w:tc>
      </w:tr>
      <w:tr w:rsidR="000F2A1C" w:rsidTr="000F2A1C">
        <w:tc>
          <w:tcPr>
            <w:tcW w:w="6475" w:type="dxa"/>
            <w:shd w:val="clear" w:color="auto" w:fill="auto"/>
          </w:tcPr>
          <w:p w:rsidR="000F2A1C" w:rsidRDefault="000F2A1C" w:rsidP="000F2A1C">
            <w:r>
              <w:t>How does your site consent subjects?</w:t>
            </w:r>
          </w:p>
        </w:tc>
        <w:tc>
          <w:tcPr>
            <w:tcW w:w="6475" w:type="dxa"/>
            <w:shd w:val="clear" w:color="auto" w:fill="auto"/>
          </w:tcPr>
          <w:p w:rsidR="000F2A1C" w:rsidRDefault="00D703DC" w:rsidP="00D703DC">
            <w:r>
              <w:t>&lt;&lt;Add your site specific informed consent process here&gt;&gt;</w:t>
            </w:r>
          </w:p>
        </w:tc>
      </w:tr>
      <w:tr w:rsidR="00D703DC" w:rsidTr="000F2A1C">
        <w:tc>
          <w:tcPr>
            <w:tcW w:w="6475" w:type="dxa"/>
            <w:shd w:val="clear" w:color="auto" w:fill="auto"/>
          </w:tcPr>
          <w:p w:rsidR="00D703DC" w:rsidRDefault="00D703DC" w:rsidP="00D703DC">
            <w:r>
              <w:t>Do you have a Standard Operating Procedure (SOP) for consenting subjects?</w:t>
            </w:r>
          </w:p>
        </w:tc>
        <w:tc>
          <w:tcPr>
            <w:tcW w:w="6475" w:type="dxa"/>
            <w:shd w:val="clear" w:color="auto" w:fill="auto"/>
          </w:tcPr>
          <w:p w:rsidR="00D703DC" w:rsidRDefault="00D703DC" w:rsidP="00D703DC">
            <w:r>
              <w:t>&lt;&lt;Site specific answer</w:t>
            </w:r>
            <w:r>
              <w:t>&gt;&gt;</w:t>
            </w:r>
          </w:p>
        </w:tc>
      </w:tr>
      <w:tr w:rsidR="00D703DC" w:rsidTr="000F2A1C">
        <w:tc>
          <w:tcPr>
            <w:tcW w:w="6475" w:type="dxa"/>
            <w:shd w:val="clear" w:color="auto" w:fill="auto"/>
          </w:tcPr>
          <w:p w:rsidR="00D703DC" w:rsidRDefault="00D703DC" w:rsidP="00D703DC">
            <w:r>
              <w:t>Are you able to obtain consent from a subject’s Legally Authorized Representative (LAR)?</w:t>
            </w:r>
          </w:p>
        </w:tc>
        <w:tc>
          <w:tcPr>
            <w:tcW w:w="6475" w:type="dxa"/>
            <w:shd w:val="clear" w:color="auto" w:fill="auto"/>
          </w:tcPr>
          <w:p w:rsidR="00D703DC" w:rsidRDefault="00D703DC" w:rsidP="00D703DC">
            <w:r>
              <w:t>Yes</w:t>
            </w:r>
          </w:p>
        </w:tc>
      </w:tr>
      <w:tr w:rsidR="00D703DC" w:rsidTr="008D06AB">
        <w:tc>
          <w:tcPr>
            <w:tcW w:w="12950" w:type="dxa"/>
            <w:gridSpan w:val="2"/>
            <w:shd w:val="clear" w:color="auto" w:fill="F2F2F2" w:themeFill="background1" w:themeFillShade="F2"/>
          </w:tcPr>
          <w:p w:rsidR="00D703DC" w:rsidRPr="008D06AB" w:rsidRDefault="00D703DC" w:rsidP="00D703DC">
            <w:pPr>
              <w:rPr>
                <w:b/>
                <w:i/>
              </w:rPr>
            </w:pPr>
            <w:r w:rsidRPr="008D06AB">
              <w:rPr>
                <w:b/>
                <w:i/>
              </w:rPr>
              <w:t>Other commonly requested documents for PSVs</w:t>
            </w:r>
            <w:r>
              <w:rPr>
                <w:b/>
                <w:i/>
              </w:rPr>
              <w:t>:</w:t>
            </w:r>
          </w:p>
        </w:tc>
      </w:tr>
      <w:tr w:rsidR="00D703DC" w:rsidTr="00926901">
        <w:tc>
          <w:tcPr>
            <w:tcW w:w="6475" w:type="dxa"/>
          </w:tcPr>
          <w:p w:rsidR="00D703DC" w:rsidRDefault="00D703DC" w:rsidP="00D703DC"/>
        </w:tc>
        <w:tc>
          <w:tcPr>
            <w:tcW w:w="6475" w:type="dxa"/>
          </w:tcPr>
          <w:p w:rsidR="00D703DC" w:rsidRDefault="00D703DC" w:rsidP="00D703DC">
            <w:pPr>
              <w:pStyle w:val="ListParagraph"/>
              <w:numPr>
                <w:ilvl w:val="0"/>
                <w:numId w:val="1"/>
              </w:numPr>
            </w:pPr>
            <w:r>
              <w:t>You will most likely be requested to supply the following SOPs:</w:t>
            </w:r>
          </w:p>
          <w:p w:rsidR="00D703DC" w:rsidRDefault="00D703DC" w:rsidP="00D703DC">
            <w:pPr>
              <w:pStyle w:val="ListParagraph"/>
              <w:numPr>
                <w:ilvl w:val="1"/>
                <w:numId w:val="2"/>
              </w:numPr>
            </w:pPr>
            <w:r>
              <w:t>Informed Consent Process</w:t>
            </w:r>
          </w:p>
          <w:p w:rsidR="00D703DC" w:rsidRDefault="00D703DC" w:rsidP="00D703DC">
            <w:pPr>
              <w:pStyle w:val="ListParagraph"/>
              <w:numPr>
                <w:ilvl w:val="1"/>
                <w:numId w:val="2"/>
              </w:numPr>
            </w:pPr>
            <w:r>
              <w:t>Record Retention</w:t>
            </w:r>
          </w:p>
          <w:p w:rsidR="00D703DC" w:rsidRDefault="00D703DC" w:rsidP="00D703DC">
            <w:pPr>
              <w:pStyle w:val="ListParagraph"/>
              <w:numPr>
                <w:ilvl w:val="1"/>
                <w:numId w:val="2"/>
              </w:numPr>
            </w:pPr>
            <w:r>
              <w:t>IP Maintenance and Accountability – IDS Pharmacy can provide</w:t>
            </w:r>
          </w:p>
          <w:p w:rsidR="00D703DC" w:rsidRDefault="00D703DC" w:rsidP="00D703DC">
            <w:pPr>
              <w:pStyle w:val="ListParagraph"/>
              <w:numPr>
                <w:ilvl w:val="0"/>
                <w:numId w:val="2"/>
              </w:numPr>
            </w:pPr>
            <w:r>
              <w:t>Signed and dated CVs (within last 2 years) for PI and Sub-Is</w:t>
            </w:r>
          </w:p>
          <w:p w:rsidR="00D703DC" w:rsidRDefault="00D703DC" w:rsidP="00D703DC">
            <w:pPr>
              <w:pStyle w:val="ListParagraph"/>
              <w:numPr>
                <w:ilvl w:val="0"/>
                <w:numId w:val="2"/>
              </w:numPr>
            </w:pPr>
            <w:r>
              <w:t>Medical licenses for PIs and Sub-Is</w:t>
            </w:r>
          </w:p>
          <w:p w:rsidR="00D703DC" w:rsidRDefault="00D703DC" w:rsidP="00D703DC">
            <w:pPr>
              <w:pStyle w:val="ListParagraph"/>
              <w:numPr>
                <w:ilvl w:val="0"/>
                <w:numId w:val="2"/>
              </w:numPr>
            </w:pPr>
            <w:r>
              <w:t>ICH GCP training reports for PIs and Sub-Is</w:t>
            </w:r>
          </w:p>
        </w:tc>
      </w:tr>
    </w:tbl>
    <w:p w:rsidR="004E4F71" w:rsidRDefault="00D703DC"/>
    <w:sectPr w:rsidR="004E4F71" w:rsidSect="0092690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1C" w:rsidRDefault="000F2A1C" w:rsidP="000F2A1C">
      <w:pPr>
        <w:spacing w:after="0" w:line="240" w:lineRule="auto"/>
      </w:pPr>
      <w:r>
        <w:separator/>
      </w:r>
    </w:p>
  </w:endnote>
  <w:endnote w:type="continuationSeparator" w:id="0">
    <w:p w:rsidR="000F2A1C" w:rsidRDefault="000F2A1C" w:rsidP="000F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40902"/>
      <w:docPartObj>
        <w:docPartGallery w:val="Page Numbers (Bottom of Page)"/>
        <w:docPartUnique/>
      </w:docPartObj>
    </w:sdtPr>
    <w:sdtEndPr>
      <w:rPr>
        <w:noProof/>
      </w:rPr>
    </w:sdtEndPr>
    <w:sdtContent>
      <w:p w:rsidR="00D703DC" w:rsidRDefault="00D703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03DC" w:rsidRDefault="00D703DC">
    <w:pPr>
      <w:pStyle w:val="Footer"/>
    </w:pPr>
    <w:r>
      <w:t>08022023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1C" w:rsidRDefault="000F2A1C" w:rsidP="000F2A1C">
      <w:pPr>
        <w:spacing w:after="0" w:line="240" w:lineRule="auto"/>
      </w:pPr>
      <w:r>
        <w:separator/>
      </w:r>
    </w:p>
  </w:footnote>
  <w:footnote w:type="continuationSeparator" w:id="0">
    <w:p w:rsidR="000F2A1C" w:rsidRDefault="000F2A1C" w:rsidP="000F2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1C" w:rsidRPr="00D703DC" w:rsidRDefault="000F2A1C" w:rsidP="00D703DC">
    <w:pPr>
      <w:pStyle w:val="Header"/>
      <w:jc w:val="center"/>
      <w:rPr>
        <w:b/>
        <w:sz w:val="24"/>
        <w:szCs w:val="24"/>
      </w:rPr>
    </w:pPr>
    <w:r w:rsidRPr="00D703DC">
      <w:rPr>
        <w:b/>
        <w:sz w:val="24"/>
        <w:szCs w:val="24"/>
      </w:rPr>
      <w:t>Commonly Asked Questions on Site Feasibility &amp; Pre-Site Selection Questionnaires – Regulatory &amp; Budget/Contract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5AE"/>
    <w:multiLevelType w:val="hybridMultilevel"/>
    <w:tmpl w:val="AF1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72E"/>
    <w:multiLevelType w:val="hybridMultilevel"/>
    <w:tmpl w:val="FC8E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01"/>
    <w:rsid w:val="000F2A1C"/>
    <w:rsid w:val="00140C9B"/>
    <w:rsid w:val="002763E7"/>
    <w:rsid w:val="004E65DB"/>
    <w:rsid w:val="008D06AB"/>
    <w:rsid w:val="00926901"/>
    <w:rsid w:val="00CD311D"/>
    <w:rsid w:val="00D703DC"/>
    <w:rsid w:val="00E4433B"/>
    <w:rsid w:val="00EC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02C2"/>
  <w15:chartTrackingRefBased/>
  <w15:docId w15:val="{7EBDB03D-31FE-4E4E-8B26-FB380A8E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6AB"/>
    <w:pPr>
      <w:ind w:left="720"/>
      <w:contextualSpacing/>
    </w:pPr>
  </w:style>
  <w:style w:type="paragraph" w:styleId="Header">
    <w:name w:val="header"/>
    <w:basedOn w:val="Normal"/>
    <w:link w:val="HeaderChar"/>
    <w:uiPriority w:val="99"/>
    <w:unhideWhenUsed/>
    <w:rsid w:val="000F2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1C"/>
  </w:style>
  <w:style w:type="paragraph" w:styleId="Footer">
    <w:name w:val="footer"/>
    <w:basedOn w:val="Normal"/>
    <w:link w:val="FooterChar"/>
    <w:uiPriority w:val="99"/>
    <w:unhideWhenUsed/>
    <w:rsid w:val="000F2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Lowman, Deborah K</dc:creator>
  <cp:keywords/>
  <dc:description/>
  <cp:lastModifiedBy>Cunningham, Pamela (Campus)</cp:lastModifiedBy>
  <cp:revision>4</cp:revision>
  <dcterms:created xsi:type="dcterms:W3CDTF">2021-11-11T21:04:00Z</dcterms:created>
  <dcterms:modified xsi:type="dcterms:W3CDTF">2023-08-02T14:37:00Z</dcterms:modified>
</cp:coreProperties>
</file>