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86" w:rsidRDefault="00997D86" w:rsidP="00997D86">
      <w:pPr>
        <w:pBdr>
          <w:bottom w:val="single" w:sz="18" w:space="2" w:color="01589B"/>
        </w:pBdr>
        <w:shd w:val="clear" w:color="auto" w:fill="FFFFFF"/>
        <w:spacing w:after="0" w:line="288" w:lineRule="atLeast"/>
        <w:outlineLvl w:val="0"/>
        <w:rPr>
          <w:rFonts w:ascii="Times" w:eastAsia="Times New Roman" w:hAnsi="Times" w:cs="Times"/>
          <w:color w:val="01589B"/>
          <w:kern w:val="36"/>
          <w:sz w:val="32"/>
          <w:szCs w:val="32"/>
        </w:rPr>
      </w:pPr>
      <w:r>
        <w:rPr>
          <w:rFonts w:ascii="Times" w:eastAsia="Times New Roman" w:hAnsi="Times" w:cs="Times"/>
          <w:color w:val="01589B"/>
          <w:kern w:val="36"/>
          <w:sz w:val="32"/>
          <w:szCs w:val="32"/>
        </w:rPr>
        <w:t>AAP Online Toolkit</w:t>
      </w:r>
    </w:p>
    <w:p w:rsidR="00997D86" w:rsidRDefault="00997D86" w:rsidP="00997D86">
      <w:pPr>
        <w:pBdr>
          <w:bottom w:val="single" w:sz="18" w:space="2" w:color="01589B"/>
        </w:pBdr>
        <w:shd w:val="clear" w:color="auto" w:fill="FFFFFF"/>
        <w:spacing w:after="0" w:line="288" w:lineRule="atLeast"/>
        <w:outlineLvl w:val="0"/>
        <w:rPr>
          <w:rFonts w:ascii="Times" w:eastAsia="Times New Roman" w:hAnsi="Times" w:cs="Times"/>
          <w:color w:val="01589B"/>
          <w:kern w:val="36"/>
          <w:sz w:val="20"/>
          <w:szCs w:val="20"/>
        </w:rPr>
      </w:pPr>
      <w:hyperlink r:id="rId5" w:history="1">
        <w:r w:rsidRPr="00D70C98">
          <w:rPr>
            <w:rStyle w:val="Hyperlink"/>
            <w:rFonts w:ascii="Times" w:eastAsia="Times New Roman" w:hAnsi="Times" w:cs="Times"/>
            <w:kern w:val="36"/>
            <w:sz w:val="20"/>
            <w:szCs w:val="20"/>
          </w:rPr>
          <w:t>https://www.aap.org/en-us/advocacy-and-policy/aap-health-initiatives/immunizations/Practice-Management/Pages/Change-Template-on-Strategies-to-Improve-Immunization-Rates.aspx</w:t>
        </w:r>
      </w:hyperlink>
    </w:p>
    <w:p w:rsidR="00997D86" w:rsidRPr="00997D86" w:rsidRDefault="00997D86" w:rsidP="00997D86">
      <w:pPr>
        <w:pBdr>
          <w:bottom w:val="single" w:sz="18" w:space="2" w:color="01589B"/>
        </w:pBdr>
        <w:shd w:val="clear" w:color="auto" w:fill="FFFFFF"/>
        <w:spacing w:after="0" w:line="288" w:lineRule="atLeast"/>
        <w:outlineLvl w:val="0"/>
        <w:rPr>
          <w:rFonts w:ascii="Times" w:eastAsia="Times New Roman" w:hAnsi="Times" w:cs="Times"/>
          <w:color w:val="01589B"/>
          <w:kern w:val="36"/>
          <w:sz w:val="20"/>
          <w:szCs w:val="20"/>
        </w:rPr>
      </w:pPr>
      <w:bookmarkStart w:id="0" w:name="_GoBack"/>
      <w:bookmarkEnd w:id="0"/>
    </w:p>
    <w:p w:rsidR="00997D86" w:rsidRPr="00997D86" w:rsidRDefault="00997D86" w:rsidP="00997D86">
      <w:pPr>
        <w:pBdr>
          <w:bottom w:val="single" w:sz="18" w:space="2" w:color="01589B"/>
        </w:pBdr>
        <w:shd w:val="clear" w:color="auto" w:fill="FFFFFF"/>
        <w:spacing w:after="0" w:line="288" w:lineRule="atLeast"/>
        <w:outlineLvl w:val="0"/>
        <w:rPr>
          <w:rFonts w:ascii="Times" w:eastAsia="Times New Roman" w:hAnsi="Times" w:cs="Times"/>
          <w:color w:val="01589B"/>
          <w:kern w:val="36"/>
          <w:sz w:val="48"/>
          <w:szCs w:val="48"/>
        </w:rPr>
      </w:pPr>
      <w:r w:rsidRPr="00997D86">
        <w:rPr>
          <w:rFonts w:ascii="Times" w:eastAsia="Times New Roman" w:hAnsi="Times" w:cs="Times"/>
          <w:color w:val="01589B"/>
          <w:kern w:val="36"/>
          <w:sz w:val="48"/>
          <w:szCs w:val="48"/>
        </w:rPr>
        <w:t>Change Template on​ Strategies to Improve Immunization Rates​</w:t>
      </w:r>
    </w:p>
    <w:p w:rsidR="00997D86" w:rsidRPr="00997D86" w:rsidRDefault="00997D86" w:rsidP="00997D86">
      <w:pPr>
        <w:shd w:val="clear" w:color="auto" w:fill="FFFFFF"/>
        <w:spacing w:before="100" w:beforeAutospacing="1" w:after="100" w:afterAutospacing="1" w:line="288" w:lineRule="atLeast"/>
        <w:outlineLvl w:val="2"/>
        <w:rPr>
          <w:rFonts w:ascii="Times" w:eastAsia="Times New Roman" w:hAnsi="Times" w:cs="Times"/>
          <w:b/>
          <w:bCs/>
          <w:color w:val="01589B"/>
          <w:sz w:val="27"/>
          <w:szCs w:val="27"/>
        </w:rPr>
      </w:pPr>
      <w:r w:rsidRPr="00997D86">
        <w:rPr>
          <w:rFonts w:ascii="Times" w:eastAsia="Times New Roman" w:hAnsi="Times" w:cs="Times"/>
          <w:b/>
          <w:bCs/>
          <w:color w:val="01589B"/>
          <w:sz w:val="27"/>
          <w:szCs w:val="27"/>
        </w:rPr>
        <w:br/>
        <w:t>Pre/Posttest</w:t>
      </w:r>
    </w:p>
    <w:p w:rsidR="00997D86" w:rsidRPr="00997D86" w:rsidRDefault="00997D86" w:rsidP="00997D86">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hyperlink r:id="rId6" w:history="1">
        <w:r w:rsidRPr="00997D86">
          <w:rPr>
            <w:rFonts w:ascii="Arial" w:eastAsia="Times New Roman" w:hAnsi="Arial" w:cs="Arial"/>
            <w:color w:val="01589B"/>
            <w:sz w:val="20"/>
            <w:szCs w:val="20"/>
            <w:u w:val="single"/>
          </w:rPr>
          <w:t>Strategies to Improve Immunization Rates Pretest</w:t>
        </w:r>
      </w:hyperlink>
    </w:p>
    <w:p w:rsidR="00997D86" w:rsidRPr="00997D86" w:rsidRDefault="00997D86" w:rsidP="00997D86">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hyperlink r:id="rId7" w:history="1">
        <w:r w:rsidRPr="00997D86">
          <w:rPr>
            <w:rFonts w:ascii="Arial" w:eastAsia="Times New Roman" w:hAnsi="Arial" w:cs="Arial"/>
            <w:color w:val="01589B"/>
            <w:sz w:val="20"/>
            <w:szCs w:val="20"/>
            <w:u w:val="single"/>
          </w:rPr>
          <w:t>Strategies to Improve Immunization Rates Posttest</w:t>
        </w:r>
      </w:hyperlink>
    </w:p>
    <w:p w:rsidR="00997D86" w:rsidRPr="00997D86" w:rsidRDefault="00997D86" w:rsidP="00997D86">
      <w:pPr>
        <w:shd w:val="clear" w:color="auto" w:fill="FFFFFF"/>
        <w:spacing w:after="360" w:line="360" w:lineRule="atLeast"/>
        <w:rPr>
          <w:rFonts w:ascii="Arial" w:eastAsia="Times New Roman" w:hAnsi="Arial" w:cs="Arial"/>
          <w:color w:val="555555"/>
          <w:sz w:val="20"/>
          <w:szCs w:val="20"/>
        </w:rPr>
      </w:pPr>
      <w:r w:rsidRPr="00997D86">
        <w:rPr>
          <w:rFonts w:ascii="Arial" w:eastAsia="Times New Roman" w:hAnsi="Arial" w:cs="Arial"/>
          <w:color w:val="555555"/>
          <w:sz w:val="20"/>
          <w:szCs w:val="20"/>
        </w:rPr>
        <w:t>Strategies to Improve Immunization Rates Resources</w:t>
      </w:r>
    </w:p>
    <w:p w:rsidR="00997D86" w:rsidRPr="00997D86" w:rsidRDefault="00997D86" w:rsidP="00997D86">
      <w:pPr>
        <w:numPr>
          <w:ilvl w:val="0"/>
          <w:numId w:val="2"/>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AAP</w:t>
      </w:r>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8" w:history="1">
        <w:r w:rsidRPr="00997D86">
          <w:rPr>
            <w:rFonts w:ascii="Arial" w:eastAsia="Times New Roman" w:hAnsi="Arial" w:cs="Arial"/>
            <w:color w:val="01589B"/>
            <w:sz w:val="20"/>
            <w:szCs w:val="20"/>
            <w:u w:val="single"/>
          </w:rPr>
          <w:t>Office Strategies for Improving Immunization Rates</w:t>
        </w:r>
      </w:hyperlink>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9" w:history="1">
        <w:r w:rsidRPr="00997D86">
          <w:rPr>
            <w:rFonts w:ascii="Arial" w:eastAsia="Times New Roman" w:hAnsi="Arial" w:cs="Arial"/>
            <w:color w:val="01589B"/>
            <w:sz w:val="20"/>
            <w:szCs w:val="20"/>
            <w:u w:val="single"/>
          </w:rPr>
          <w:t>Reminder and Recall Systems</w:t>
        </w:r>
      </w:hyperlink>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10" w:history="1">
        <w:r w:rsidRPr="00997D86">
          <w:rPr>
            <w:rFonts w:ascii="Arial" w:eastAsia="Times New Roman" w:hAnsi="Arial" w:cs="Arial"/>
            <w:color w:val="01589B"/>
            <w:sz w:val="20"/>
            <w:szCs w:val="20"/>
            <w:u w:val="single"/>
          </w:rPr>
          <w:t>Quality Improvement</w:t>
        </w:r>
      </w:hyperlink>
    </w:p>
    <w:p w:rsidR="00997D86" w:rsidRPr="00997D86" w:rsidRDefault="00997D86" w:rsidP="00997D86">
      <w:pPr>
        <w:numPr>
          <w:ilvl w:val="2"/>
          <w:numId w:val="2"/>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AAP Education in Quality Improvement for Pediatric Practices</w:t>
      </w:r>
    </w:p>
    <w:p w:rsidR="00997D86" w:rsidRPr="00997D86" w:rsidRDefault="00997D86" w:rsidP="00997D86">
      <w:pPr>
        <w:numPr>
          <w:ilvl w:val="2"/>
          <w:numId w:val="2"/>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National Vaccine Advisory Committee Standards (with featured best practices)</w:t>
      </w:r>
    </w:p>
    <w:p w:rsidR="00997D86" w:rsidRPr="00997D86" w:rsidRDefault="00997D86" w:rsidP="00997D86">
      <w:pPr>
        <w:numPr>
          <w:ilvl w:val="2"/>
          <w:numId w:val="2"/>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District Hub and Spoke Initiative Focused on Improving HPV Vaccination Rates</w:t>
      </w:r>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11" w:history="1">
        <w:r w:rsidRPr="00997D86">
          <w:rPr>
            <w:rFonts w:ascii="Arial" w:eastAsia="Times New Roman" w:hAnsi="Arial" w:cs="Arial"/>
            <w:color w:val="01589B"/>
            <w:sz w:val="20"/>
            <w:szCs w:val="20"/>
            <w:u w:val="single"/>
          </w:rPr>
          <w:t>AAP Immunization Training Guide</w:t>
        </w:r>
      </w:hyperlink>
    </w:p>
    <w:p w:rsidR="00997D86" w:rsidRPr="00997D86" w:rsidRDefault="00997D86" w:rsidP="00997D86">
      <w:pPr>
        <w:numPr>
          <w:ilvl w:val="0"/>
          <w:numId w:val="2"/>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Immunization Action Coalition</w:t>
      </w:r>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12" w:history="1">
        <w:r w:rsidRPr="00997D86">
          <w:rPr>
            <w:rFonts w:ascii="Arial" w:eastAsia="Times New Roman" w:hAnsi="Arial" w:cs="Arial"/>
            <w:color w:val="01589B"/>
            <w:sz w:val="20"/>
            <w:szCs w:val="20"/>
            <w:u w:val="single"/>
          </w:rPr>
          <w:t>Resources for Standing Orders</w:t>
        </w:r>
      </w:hyperlink>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13" w:history="1">
        <w:r w:rsidRPr="00997D86">
          <w:rPr>
            <w:rFonts w:ascii="Arial" w:eastAsia="Times New Roman" w:hAnsi="Arial" w:cs="Arial"/>
            <w:color w:val="01589B"/>
            <w:sz w:val="20"/>
            <w:szCs w:val="20"/>
            <w:u w:val="single"/>
          </w:rPr>
          <w:t>10 Steps to Implementing Standing Orders for Immunization in Your Practice Setting</w:t>
        </w:r>
      </w:hyperlink>
    </w:p>
    <w:p w:rsidR="00997D86" w:rsidRPr="00997D86" w:rsidRDefault="00997D86" w:rsidP="00997D86">
      <w:pPr>
        <w:numPr>
          <w:ilvl w:val="1"/>
          <w:numId w:val="2"/>
        </w:numPr>
        <w:shd w:val="clear" w:color="auto" w:fill="FFFFFF"/>
        <w:spacing w:before="100" w:beforeAutospacing="1" w:after="100" w:afterAutospacing="1" w:line="240" w:lineRule="auto"/>
        <w:rPr>
          <w:rFonts w:ascii="Arial" w:eastAsia="Times New Roman" w:hAnsi="Arial" w:cs="Arial"/>
          <w:color w:val="555555"/>
          <w:sz w:val="20"/>
          <w:szCs w:val="20"/>
        </w:rPr>
      </w:pPr>
      <w:hyperlink r:id="rId14" w:history="1">
        <w:r w:rsidRPr="00997D86">
          <w:rPr>
            <w:rFonts w:ascii="Arial" w:eastAsia="Times New Roman" w:hAnsi="Arial" w:cs="Arial"/>
            <w:color w:val="01589B"/>
            <w:sz w:val="20"/>
            <w:szCs w:val="20"/>
            <w:u w:val="single"/>
          </w:rPr>
          <w:t>Using Standing Orders for Administering Vaccines: What You Should Know</w:t>
        </w:r>
      </w:hyperlink>
    </w:p>
    <w:p w:rsidR="00997D86" w:rsidRPr="00997D86" w:rsidRDefault="00997D86" w:rsidP="00997D86">
      <w:pPr>
        <w:shd w:val="clear" w:color="auto" w:fill="FFFFFF"/>
        <w:spacing w:before="100" w:beforeAutospacing="1" w:after="100" w:afterAutospacing="1" w:line="288" w:lineRule="atLeast"/>
        <w:outlineLvl w:val="2"/>
        <w:rPr>
          <w:rFonts w:ascii="Times" w:eastAsia="Times New Roman" w:hAnsi="Times" w:cs="Times"/>
          <w:b/>
          <w:bCs/>
          <w:color w:val="01589B"/>
          <w:sz w:val="27"/>
          <w:szCs w:val="27"/>
        </w:rPr>
      </w:pPr>
      <w:proofErr w:type="spellStart"/>
      <w:r w:rsidRPr="00997D86">
        <w:rPr>
          <w:rFonts w:ascii="Times" w:eastAsia="Times New Roman" w:hAnsi="Times" w:cs="Times"/>
          <w:b/>
          <w:bCs/>
          <w:color w:val="01589B"/>
          <w:sz w:val="27"/>
          <w:szCs w:val="27"/>
        </w:rPr>
        <w:t>Educ</w:t>
      </w:r>
      <w:proofErr w:type="spellEnd"/>
      <w:r w:rsidRPr="00997D86">
        <w:rPr>
          <w:rFonts w:ascii="Times" w:eastAsia="Times New Roman" w:hAnsi="Times" w:cs="Times"/>
          <w:b/>
          <w:bCs/>
          <w:color w:val="01589B"/>
          <w:sz w:val="27"/>
          <w:szCs w:val="27"/>
        </w:rPr>
        <w:t>​</w:t>
      </w:r>
      <w:proofErr w:type="spellStart"/>
      <w:r w:rsidRPr="00997D86">
        <w:rPr>
          <w:rFonts w:ascii="Times" w:eastAsia="Times New Roman" w:hAnsi="Times" w:cs="Times"/>
          <w:b/>
          <w:bCs/>
          <w:color w:val="01589B"/>
          <w:sz w:val="27"/>
          <w:szCs w:val="27"/>
        </w:rPr>
        <w:t>ation</w:t>
      </w:r>
      <w:proofErr w:type="spellEnd"/>
    </w:p>
    <w:p w:rsidR="00997D86" w:rsidRPr="00997D86" w:rsidRDefault="00997D86" w:rsidP="00997D86">
      <w:pPr>
        <w:numPr>
          <w:ilvl w:val="0"/>
          <w:numId w:val="3"/>
        </w:numPr>
        <w:shd w:val="clear" w:color="auto" w:fill="FFFFFF"/>
        <w:spacing w:before="100" w:beforeAutospacing="1" w:after="100" w:afterAutospacing="1" w:line="240" w:lineRule="auto"/>
        <w:rPr>
          <w:rFonts w:ascii="Arial" w:eastAsia="Times New Roman" w:hAnsi="Arial" w:cs="Arial"/>
          <w:color w:val="555555"/>
          <w:sz w:val="20"/>
          <w:szCs w:val="20"/>
        </w:rPr>
      </w:pPr>
      <w:hyperlink r:id="rId15" w:history="1">
        <w:r w:rsidRPr="00997D86">
          <w:rPr>
            <w:rFonts w:ascii="Arial" w:eastAsia="Times New Roman" w:hAnsi="Arial" w:cs="Arial"/>
            <w:color w:val="01589B"/>
            <w:sz w:val="20"/>
            <w:szCs w:val="20"/>
            <w:u w:val="single"/>
          </w:rPr>
          <w:t>Adolescent Immunization: Office Strategies</w:t>
        </w:r>
      </w:hyperlink>
    </w:p>
    <w:p w:rsidR="00997D86" w:rsidRPr="00997D86" w:rsidRDefault="00997D86" w:rsidP="00997D86">
      <w:pPr>
        <w:shd w:val="clear" w:color="auto" w:fill="FFFFFF"/>
        <w:spacing w:after="360" w:line="360" w:lineRule="atLeast"/>
        <w:rPr>
          <w:rFonts w:ascii="Arial" w:eastAsia="Times New Roman" w:hAnsi="Arial" w:cs="Arial"/>
          <w:color w:val="555555"/>
          <w:sz w:val="20"/>
          <w:szCs w:val="20"/>
        </w:rPr>
      </w:pPr>
      <w:r w:rsidRPr="00997D86">
        <w:rPr>
          <w:rFonts w:ascii="Arial" w:eastAsia="Times New Roman" w:hAnsi="Arial" w:cs="Arial"/>
          <w:color w:val="555555"/>
          <w:sz w:val="20"/>
          <w:szCs w:val="20"/>
        </w:rPr>
        <w:t xml:space="preserve">This course provides descriptions of four strategies—provider prompts, patient recalls and reminders, </w:t>
      </w:r>
      <w:proofErr w:type="spellStart"/>
      <w:r w:rsidRPr="00997D86">
        <w:rPr>
          <w:rFonts w:ascii="Arial" w:eastAsia="Times New Roman" w:hAnsi="Arial" w:cs="Arial"/>
          <w:color w:val="555555"/>
          <w:sz w:val="20"/>
          <w:szCs w:val="20"/>
        </w:rPr>
        <w:t>stan</w:t>
      </w:r>
      <w:proofErr w:type="spellEnd"/>
      <w:r w:rsidRPr="00997D86">
        <w:rPr>
          <w:rFonts w:ascii="Arial" w:eastAsia="Times New Roman" w:hAnsi="Arial" w:cs="Arial"/>
          <w:color w:val="555555"/>
          <w:sz w:val="20"/>
          <w:szCs w:val="20"/>
        </w:rPr>
        <w:t xml:space="preserve">​ding orders, and improved vaccine communications—that pediatric offices can use to optimize their adolescent immunization efforts and improve their adolescent immunization rates. Offices that implement more than one strategy can maximize the success of their efforts to immunize </w:t>
      </w:r>
      <w:proofErr w:type="gramStart"/>
      <w:r w:rsidRPr="00997D86">
        <w:rPr>
          <w:rFonts w:ascii="Arial" w:eastAsia="Times New Roman" w:hAnsi="Arial" w:cs="Arial"/>
          <w:color w:val="555555"/>
          <w:sz w:val="20"/>
          <w:szCs w:val="20"/>
        </w:rPr>
        <w:t>adolescents.​</w:t>
      </w:r>
      <w:proofErr w:type="gramEnd"/>
    </w:p>
    <w:p w:rsidR="00997D86" w:rsidRPr="00997D86" w:rsidRDefault="00997D86" w:rsidP="00997D86">
      <w:pPr>
        <w:shd w:val="clear" w:color="auto" w:fill="FFFFFF"/>
        <w:spacing w:before="100" w:beforeAutospacing="1" w:after="100" w:afterAutospacing="1" w:line="288" w:lineRule="atLeast"/>
        <w:outlineLvl w:val="2"/>
        <w:rPr>
          <w:rFonts w:ascii="Times" w:eastAsia="Times New Roman" w:hAnsi="Times" w:cs="Times"/>
          <w:b/>
          <w:bCs/>
          <w:color w:val="01589B"/>
          <w:sz w:val="27"/>
          <w:szCs w:val="27"/>
        </w:rPr>
      </w:pPr>
      <w:r w:rsidRPr="00997D86">
        <w:rPr>
          <w:rFonts w:ascii="Times" w:eastAsia="Times New Roman" w:hAnsi="Times" w:cs="Times"/>
          <w:b/>
          <w:bCs/>
          <w:color w:val="01589B"/>
          <w:sz w:val="27"/>
          <w:szCs w:val="27"/>
        </w:rPr>
        <w:t>Practice-cha​ng​e Tools</w:t>
      </w:r>
    </w:p>
    <w:p w:rsidR="00997D86" w:rsidRPr="00997D86" w:rsidRDefault="00997D86" w:rsidP="00997D86">
      <w:pPr>
        <w:shd w:val="clear" w:color="auto" w:fill="FFFFFF"/>
        <w:spacing w:after="360" w:line="360" w:lineRule="atLeast"/>
        <w:rPr>
          <w:rFonts w:ascii="Arial" w:eastAsia="Times New Roman" w:hAnsi="Arial" w:cs="Arial"/>
          <w:color w:val="555555"/>
          <w:sz w:val="20"/>
          <w:szCs w:val="20"/>
        </w:rPr>
      </w:pPr>
      <w:r w:rsidRPr="00997D86">
        <w:rPr>
          <w:rFonts w:ascii="Arial" w:eastAsia="Times New Roman" w:hAnsi="Arial" w:cs="Arial"/>
          <w:color w:val="555555"/>
          <w:sz w:val="20"/>
          <w:szCs w:val="20"/>
        </w:rPr>
        <w:t>Use these materials to help you make and measure change in your practice.</w:t>
      </w:r>
    </w:p>
    <w:p w:rsidR="00997D86" w:rsidRPr="00997D86" w:rsidRDefault="00997D86" w:rsidP="00997D86">
      <w:pPr>
        <w:numPr>
          <w:ilvl w:val="0"/>
          <w:numId w:val="4"/>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​​Using Standing Orders Tools</w:t>
      </w:r>
    </w:p>
    <w:p w:rsidR="00997D86" w:rsidRPr="00997D86" w:rsidRDefault="00997D86" w:rsidP="00997D86">
      <w:pPr>
        <w:numPr>
          <w:ilvl w:val="1"/>
          <w:numId w:val="4"/>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w:t>
      </w:r>
      <w:hyperlink r:id="rId16" w:history="1">
        <w:r w:rsidRPr="00997D86">
          <w:rPr>
            <w:rFonts w:ascii="Arial" w:eastAsia="Times New Roman" w:hAnsi="Arial" w:cs="Arial"/>
            <w:color w:val="01589B"/>
            <w:sz w:val="20"/>
            <w:szCs w:val="20"/>
            <w:u w:val="single"/>
          </w:rPr>
          <w:t>Sample Standing Orders Project Charter</w:t>
        </w:r>
      </w:hyperlink>
      <w:r w:rsidRPr="00997D86">
        <w:rPr>
          <w:rFonts w:ascii="Arial" w:eastAsia="Times New Roman" w:hAnsi="Arial" w:cs="Arial"/>
          <w:color w:val="555555"/>
          <w:sz w:val="20"/>
          <w:szCs w:val="20"/>
        </w:rPr>
        <w:t> (PDF 147KB)</w:t>
      </w:r>
    </w:p>
    <w:p w:rsidR="00997D86" w:rsidRPr="00997D86" w:rsidRDefault="00997D86" w:rsidP="00997D86">
      <w:pPr>
        <w:numPr>
          <w:ilvl w:val="1"/>
          <w:numId w:val="4"/>
        </w:numPr>
        <w:shd w:val="clear" w:color="auto" w:fill="FFFFFF"/>
        <w:spacing w:before="100" w:beforeAutospacing="1" w:after="100" w:afterAutospacing="1" w:line="240" w:lineRule="auto"/>
        <w:rPr>
          <w:rFonts w:ascii="Arial" w:eastAsia="Times New Roman" w:hAnsi="Arial" w:cs="Arial"/>
          <w:color w:val="555555"/>
          <w:sz w:val="20"/>
          <w:szCs w:val="20"/>
        </w:rPr>
      </w:pPr>
      <w:hyperlink r:id="rId17" w:history="1">
        <w:r w:rsidRPr="00997D86">
          <w:rPr>
            <w:rFonts w:ascii="Arial" w:eastAsia="Times New Roman" w:hAnsi="Arial" w:cs="Arial"/>
            <w:color w:val="01589B"/>
            <w:sz w:val="20"/>
            <w:szCs w:val="20"/>
            <w:u w:val="single"/>
          </w:rPr>
          <w:t>Sample Standing Orders Plan-Do-Study-Act (PDSA) Cycle 1</w:t>
        </w:r>
      </w:hyperlink>
      <w:r w:rsidRPr="00997D86">
        <w:rPr>
          <w:rFonts w:ascii="Arial" w:eastAsia="Times New Roman" w:hAnsi="Arial" w:cs="Arial"/>
          <w:color w:val="555555"/>
          <w:sz w:val="20"/>
          <w:szCs w:val="20"/>
        </w:rPr>
        <w:t> (PDF 158KB)</w:t>
      </w:r>
    </w:p>
    <w:p w:rsidR="00997D86" w:rsidRPr="00997D86" w:rsidRDefault="00997D86" w:rsidP="00997D86">
      <w:pPr>
        <w:numPr>
          <w:ilvl w:val="1"/>
          <w:numId w:val="4"/>
        </w:numPr>
        <w:shd w:val="clear" w:color="auto" w:fill="FFFFFF"/>
        <w:spacing w:before="100" w:beforeAutospacing="1" w:after="240" w:line="240" w:lineRule="auto"/>
        <w:rPr>
          <w:rFonts w:ascii="Arial" w:eastAsia="Times New Roman" w:hAnsi="Arial" w:cs="Arial"/>
          <w:color w:val="555555"/>
          <w:sz w:val="20"/>
          <w:szCs w:val="20"/>
        </w:rPr>
      </w:pPr>
      <w:hyperlink r:id="rId18" w:history="1">
        <w:r w:rsidRPr="00997D86">
          <w:rPr>
            <w:rFonts w:ascii="Arial" w:eastAsia="Times New Roman" w:hAnsi="Arial" w:cs="Arial"/>
            <w:color w:val="01589B"/>
            <w:sz w:val="20"/>
            <w:szCs w:val="20"/>
            <w:u w:val="single"/>
          </w:rPr>
          <w:t>Sample Standing Orders PDSA Cycle 2</w:t>
        </w:r>
      </w:hyperlink>
      <w:r w:rsidRPr="00997D86">
        <w:rPr>
          <w:rFonts w:ascii="Arial" w:eastAsia="Times New Roman" w:hAnsi="Arial" w:cs="Arial"/>
          <w:color w:val="555555"/>
          <w:sz w:val="20"/>
          <w:szCs w:val="20"/>
        </w:rPr>
        <w:t>  (PDF 155KB)</w:t>
      </w:r>
    </w:p>
    <w:p w:rsidR="00997D86" w:rsidRPr="00997D86" w:rsidRDefault="00997D86" w:rsidP="00997D86">
      <w:pPr>
        <w:numPr>
          <w:ilvl w:val="0"/>
          <w:numId w:val="4"/>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Recall Tools</w:t>
      </w:r>
    </w:p>
    <w:p w:rsidR="00997D86" w:rsidRPr="00997D86" w:rsidRDefault="00997D86" w:rsidP="00997D86">
      <w:pPr>
        <w:numPr>
          <w:ilvl w:val="1"/>
          <w:numId w:val="4"/>
        </w:numPr>
        <w:shd w:val="clear" w:color="auto" w:fill="FFFFFF"/>
        <w:spacing w:before="100" w:beforeAutospacing="1" w:after="100" w:afterAutospacing="1" w:line="240" w:lineRule="auto"/>
        <w:rPr>
          <w:rFonts w:ascii="Arial" w:eastAsia="Times New Roman" w:hAnsi="Arial" w:cs="Arial"/>
          <w:color w:val="555555"/>
          <w:sz w:val="20"/>
          <w:szCs w:val="20"/>
        </w:rPr>
      </w:pPr>
      <w:hyperlink r:id="rId19" w:tgtFrame="_blank" w:history="1">
        <w:r w:rsidRPr="00997D86">
          <w:rPr>
            <w:rFonts w:ascii="Arial" w:eastAsia="Times New Roman" w:hAnsi="Arial" w:cs="Arial"/>
            <w:color w:val="01589B"/>
            <w:sz w:val="20"/>
            <w:szCs w:val="20"/>
            <w:u w:val="single"/>
          </w:rPr>
          <w:t>Sample Recall Project Charter</w:t>
        </w:r>
      </w:hyperlink>
      <w:r w:rsidRPr="00997D86">
        <w:rPr>
          <w:rFonts w:ascii="Arial" w:eastAsia="Times New Roman" w:hAnsi="Arial" w:cs="Arial"/>
          <w:color w:val="555555"/>
          <w:sz w:val="20"/>
          <w:szCs w:val="20"/>
        </w:rPr>
        <w:t> (PDF 703 KB)</w:t>
      </w:r>
    </w:p>
    <w:p w:rsidR="00997D86" w:rsidRPr="00997D86" w:rsidRDefault="00997D86" w:rsidP="00997D86">
      <w:pPr>
        <w:numPr>
          <w:ilvl w:val="1"/>
          <w:numId w:val="4"/>
        </w:numPr>
        <w:shd w:val="clear" w:color="auto" w:fill="FFFFFF"/>
        <w:spacing w:before="100" w:beforeAutospacing="1" w:after="100" w:afterAutospacing="1" w:line="240" w:lineRule="auto"/>
        <w:rPr>
          <w:rFonts w:ascii="Arial" w:eastAsia="Times New Roman" w:hAnsi="Arial" w:cs="Arial"/>
          <w:color w:val="555555"/>
          <w:sz w:val="20"/>
          <w:szCs w:val="20"/>
        </w:rPr>
      </w:pPr>
      <w:hyperlink r:id="rId20" w:tgtFrame="_blank" w:history="1">
        <w:r w:rsidRPr="00997D86">
          <w:rPr>
            <w:rFonts w:ascii="Arial" w:eastAsia="Times New Roman" w:hAnsi="Arial" w:cs="Arial"/>
            <w:color w:val="01589B"/>
            <w:sz w:val="20"/>
            <w:szCs w:val="20"/>
            <w:u w:val="single"/>
          </w:rPr>
          <w:t>Sample Recall PDSA Cycle 1</w:t>
        </w:r>
      </w:hyperlink>
      <w:r w:rsidRPr="00997D86">
        <w:rPr>
          <w:rFonts w:ascii="Arial" w:eastAsia="Times New Roman" w:hAnsi="Arial" w:cs="Arial"/>
          <w:color w:val="555555"/>
          <w:sz w:val="20"/>
          <w:szCs w:val="20"/>
        </w:rPr>
        <w:t> (PDF 629 KB)</w:t>
      </w:r>
    </w:p>
    <w:p w:rsidR="00997D86" w:rsidRPr="00997D86" w:rsidRDefault="00997D86" w:rsidP="00997D86">
      <w:pPr>
        <w:numPr>
          <w:ilvl w:val="1"/>
          <w:numId w:val="4"/>
        </w:numPr>
        <w:shd w:val="clear" w:color="auto" w:fill="FFFFFF"/>
        <w:spacing w:before="100" w:beforeAutospacing="1" w:after="100" w:afterAutospacing="1" w:line="240" w:lineRule="auto"/>
        <w:rPr>
          <w:rFonts w:ascii="Arial" w:eastAsia="Times New Roman" w:hAnsi="Arial" w:cs="Arial"/>
          <w:color w:val="555555"/>
          <w:sz w:val="20"/>
          <w:szCs w:val="20"/>
        </w:rPr>
      </w:pPr>
      <w:hyperlink r:id="rId21" w:tgtFrame="_blank" w:history="1">
        <w:r w:rsidRPr="00997D86">
          <w:rPr>
            <w:rFonts w:ascii="Arial" w:eastAsia="Times New Roman" w:hAnsi="Arial" w:cs="Arial"/>
            <w:color w:val="01589B"/>
            <w:sz w:val="20"/>
            <w:szCs w:val="20"/>
            <w:u w:val="single"/>
          </w:rPr>
          <w:t>Sample Recall PDSA Cycle 2</w:t>
        </w:r>
      </w:hyperlink>
      <w:r w:rsidRPr="00997D86">
        <w:rPr>
          <w:rFonts w:ascii="Arial" w:eastAsia="Times New Roman" w:hAnsi="Arial" w:cs="Arial"/>
          <w:color w:val="555555"/>
          <w:sz w:val="20"/>
          <w:szCs w:val="20"/>
        </w:rPr>
        <w:t> (PDF 424KB)</w:t>
      </w:r>
    </w:p>
    <w:p w:rsidR="00997D86" w:rsidRPr="00997D86" w:rsidRDefault="00997D86" w:rsidP="00997D86">
      <w:pPr>
        <w:numPr>
          <w:ilvl w:val="0"/>
          <w:numId w:val="5"/>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​​Blank Tools ​</w:t>
      </w:r>
    </w:p>
    <w:p w:rsidR="00997D86" w:rsidRPr="00997D86" w:rsidRDefault="00997D86" w:rsidP="00997D86">
      <w:pPr>
        <w:numPr>
          <w:ilvl w:val="1"/>
          <w:numId w:val="5"/>
        </w:numPr>
        <w:shd w:val="clear" w:color="auto" w:fill="FFFFFF"/>
        <w:spacing w:before="100" w:beforeAutospacing="1" w:after="100" w:afterAutospacing="1" w:line="240" w:lineRule="auto"/>
        <w:rPr>
          <w:rFonts w:ascii="Arial" w:eastAsia="Times New Roman" w:hAnsi="Arial" w:cs="Arial"/>
          <w:color w:val="555555"/>
          <w:sz w:val="20"/>
          <w:szCs w:val="20"/>
        </w:rPr>
      </w:pPr>
      <w:hyperlink r:id="rId22" w:history="1">
        <w:r w:rsidRPr="00997D86">
          <w:rPr>
            <w:rFonts w:ascii="Arial" w:eastAsia="Times New Roman" w:hAnsi="Arial" w:cs="Arial"/>
            <w:color w:val="01589B"/>
            <w:sz w:val="20"/>
            <w:szCs w:val="20"/>
            <w:u w:val="single"/>
          </w:rPr>
          <w:t>Sample Project Charter</w:t>
        </w:r>
      </w:hyperlink>
      <w:r w:rsidRPr="00997D86">
        <w:rPr>
          <w:rFonts w:ascii="Arial" w:eastAsia="Times New Roman" w:hAnsi="Arial" w:cs="Arial"/>
          <w:color w:val="555555"/>
          <w:sz w:val="20"/>
          <w:szCs w:val="20"/>
        </w:rPr>
        <w:t> (PDF 80KB)​</w:t>
      </w:r>
    </w:p>
    <w:p w:rsidR="00997D86" w:rsidRPr="00997D86" w:rsidRDefault="00997D86" w:rsidP="00997D86">
      <w:pPr>
        <w:numPr>
          <w:ilvl w:val="1"/>
          <w:numId w:val="5"/>
        </w:numPr>
        <w:shd w:val="clear" w:color="auto" w:fill="FFFFFF"/>
        <w:spacing w:before="100" w:beforeAutospacing="1" w:after="100" w:afterAutospacing="1" w:line="240" w:lineRule="auto"/>
        <w:rPr>
          <w:rFonts w:ascii="Arial" w:eastAsia="Times New Roman" w:hAnsi="Arial" w:cs="Arial"/>
          <w:color w:val="555555"/>
          <w:sz w:val="20"/>
          <w:szCs w:val="20"/>
        </w:rPr>
      </w:pPr>
      <w:hyperlink r:id="rId23" w:history="1">
        <w:r w:rsidRPr="00997D86">
          <w:rPr>
            <w:rFonts w:ascii="Arial" w:eastAsia="Times New Roman" w:hAnsi="Arial" w:cs="Arial"/>
            <w:color w:val="01589B"/>
            <w:sz w:val="20"/>
            <w:szCs w:val="20"/>
            <w:u w:val="single"/>
          </w:rPr>
          <w:t>Sample PDSA Cycle 1 ​</w:t>
        </w:r>
      </w:hyperlink>
      <w:r w:rsidRPr="00997D86">
        <w:rPr>
          <w:rFonts w:ascii="Arial" w:eastAsia="Times New Roman" w:hAnsi="Arial" w:cs="Arial"/>
          <w:color w:val="555555"/>
          <w:sz w:val="20"/>
          <w:szCs w:val="20"/>
        </w:rPr>
        <w:t>(PDF 116KB)</w:t>
      </w:r>
    </w:p>
    <w:p w:rsidR="00997D86" w:rsidRPr="00997D86" w:rsidRDefault="00997D86" w:rsidP="00997D86">
      <w:pPr>
        <w:numPr>
          <w:ilvl w:val="1"/>
          <w:numId w:val="5"/>
        </w:numPr>
        <w:shd w:val="clear" w:color="auto" w:fill="FFFFFF"/>
        <w:spacing w:before="100" w:beforeAutospacing="1" w:after="100" w:afterAutospacing="1" w:line="240" w:lineRule="auto"/>
        <w:rPr>
          <w:rFonts w:ascii="Arial" w:eastAsia="Times New Roman" w:hAnsi="Arial" w:cs="Arial"/>
          <w:color w:val="555555"/>
          <w:sz w:val="20"/>
          <w:szCs w:val="20"/>
        </w:rPr>
      </w:pPr>
      <w:hyperlink r:id="rId24" w:history="1">
        <w:r w:rsidRPr="00997D86">
          <w:rPr>
            <w:rFonts w:ascii="Arial" w:eastAsia="Times New Roman" w:hAnsi="Arial" w:cs="Arial"/>
            <w:color w:val="01589B"/>
            <w:sz w:val="20"/>
            <w:szCs w:val="20"/>
            <w:u w:val="single"/>
          </w:rPr>
          <w:t>Sample PDSA Subsequent C​</w:t>
        </w:r>
        <w:proofErr w:type="spellStart"/>
        <w:r w:rsidRPr="00997D86">
          <w:rPr>
            <w:rFonts w:ascii="Arial" w:eastAsia="Times New Roman" w:hAnsi="Arial" w:cs="Arial"/>
            <w:color w:val="01589B"/>
            <w:sz w:val="20"/>
            <w:szCs w:val="20"/>
            <w:u w:val="single"/>
          </w:rPr>
          <w:t>ycles</w:t>
        </w:r>
        <w:proofErr w:type="spellEnd"/>
        <w:r w:rsidRPr="00997D86">
          <w:rPr>
            <w:rFonts w:ascii="Arial" w:eastAsia="Times New Roman" w:hAnsi="Arial" w:cs="Arial"/>
            <w:color w:val="01589B"/>
            <w:sz w:val="20"/>
            <w:szCs w:val="20"/>
            <w:u w:val="single"/>
          </w:rPr>
          <w:t> </w:t>
        </w:r>
      </w:hyperlink>
      <w:r w:rsidRPr="00997D86">
        <w:rPr>
          <w:rFonts w:ascii="Arial" w:eastAsia="Times New Roman" w:hAnsi="Arial" w:cs="Arial"/>
          <w:color w:val="555555"/>
          <w:sz w:val="20"/>
          <w:szCs w:val="20"/>
        </w:rPr>
        <w:t> (PDF 87KB)</w:t>
      </w:r>
    </w:p>
    <w:p w:rsidR="00997D86" w:rsidRPr="00997D86" w:rsidRDefault="00997D86" w:rsidP="00997D86">
      <w:pPr>
        <w:numPr>
          <w:ilvl w:val="0"/>
          <w:numId w:val="6"/>
        </w:numPr>
        <w:shd w:val="clear" w:color="auto" w:fill="FFFFFF"/>
        <w:spacing w:before="100" w:beforeAutospacing="1" w:after="100" w:afterAutospacing="1" w:line="240" w:lineRule="auto"/>
        <w:rPr>
          <w:rFonts w:ascii="Arial" w:eastAsia="Times New Roman" w:hAnsi="Arial" w:cs="Arial"/>
          <w:color w:val="555555"/>
          <w:sz w:val="20"/>
          <w:szCs w:val="20"/>
        </w:rPr>
      </w:pPr>
      <w:r w:rsidRPr="00997D86">
        <w:rPr>
          <w:rFonts w:ascii="Arial" w:eastAsia="Times New Roman" w:hAnsi="Arial" w:cs="Arial"/>
          <w:color w:val="555555"/>
          <w:sz w:val="20"/>
          <w:szCs w:val="20"/>
        </w:rPr>
        <w:t>Other sample PDSA cycles</w:t>
      </w:r>
    </w:p>
    <w:p w:rsidR="00997D86" w:rsidRPr="00997D86" w:rsidRDefault="00997D86" w:rsidP="00997D86">
      <w:pPr>
        <w:numPr>
          <w:ilvl w:val="1"/>
          <w:numId w:val="6"/>
        </w:numPr>
        <w:shd w:val="clear" w:color="auto" w:fill="FFFFFF"/>
        <w:spacing w:before="100" w:beforeAutospacing="1" w:after="100" w:afterAutospacing="1" w:line="240" w:lineRule="auto"/>
        <w:rPr>
          <w:rFonts w:ascii="Arial" w:eastAsia="Times New Roman" w:hAnsi="Arial" w:cs="Arial"/>
          <w:color w:val="555555"/>
          <w:sz w:val="20"/>
          <w:szCs w:val="20"/>
        </w:rPr>
      </w:pPr>
      <w:hyperlink r:id="rId25" w:history="1">
        <w:r w:rsidRPr="00997D86">
          <w:rPr>
            <w:rFonts w:ascii="Arial" w:eastAsia="Times New Roman" w:hAnsi="Arial" w:cs="Arial"/>
            <w:color w:val="01589B"/>
            <w:sz w:val="20"/>
            <w:szCs w:val="20"/>
            <w:u w:val="single"/>
          </w:rPr>
          <w:t>Immunization Assessment</w:t>
        </w:r>
      </w:hyperlink>
    </w:p>
    <w:p w:rsidR="00997D86" w:rsidRPr="00997D86" w:rsidRDefault="00997D86" w:rsidP="00997D86">
      <w:pPr>
        <w:numPr>
          <w:ilvl w:val="1"/>
          <w:numId w:val="6"/>
        </w:numPr>
        <w:shd w:val="clear" w:color="auto" w:fill="FFFFFF"/>
        <w:spacing w:before="100" w:beforeAutospacing="1" w:after="100" w:afterAutospacing="1" w:line="240" w:lineRule="auto"/>
        <w:rPr>
          <w:rFonts w:ascii="Arial" w:eastAsia="Times New Roman" w:hAnsi="Arial" w:cs="Arial"/>
          <w:color w:val="555555"/>
          <w:sz w:val="20"/>
          <w:szCs w:val="20"/>
        </w:rPr>
      </w:pPr>
      <w:hyperlink r:id="rId26" w:history="1">
        <w:r w:rsidRPr="00997D86">
          <w:rPr>
            <w:rFonts w:ascii="Arial" w:eastAsia="Times New Roman" w:hAnsi="Arial" w:cs="Arial"/>
            <w:color w:val="01589B"/>
            <w:sz w:val="20"/>
            <w:szCs w:val="20"/>
            <w:u w:val="single"/>
          </w:rPr>
          <w:t>Missed Opportunities </w:t>
        </w:r>
      </w:hyperlink>
    </w:p>
    <w:p w:rsidR="00997D86" w:rsidRPr="00997D86" w:rsidRDefault="00997D86" w:rsidP="00997D86">
      <w:pPr>
        <w:numPr>
          <w:ilvl w:val="1"/>
          <w:numId w:val="6"/>
        </w:numPr>
        <w:shd w:val="clear" w:color="auto" w:fill="FFFFFF"/>
        <w:spacing w:before="100" w:beforeAutospacing="1" w:after="100" w:afterAutospacing="1" w:line="240" w:lineRule="auto"/>
        <w:rPr>
          <w:rFonts w:ascii="Arial" w:eastAsia="Times New Roman" w:hAnsi="Arial" w:cs="Arial"/>
          <w:color w:val="555555"/>
          <w:sz w:val="20"/>
          <w:szCs w:val="20"/>
        </w:rPr>
      </w:pPr>
      <w:hyperlink r:id="rId27" w:history="1">
        <w:r w:rsidRPr="00997D86">
          <w:rPr>
            <w:rFonts w:ascii="Arial" w:eastAsia="Times New Roman" w:hAnsi="Arial" w:cs="Arial"/>
            <w:color w:val="01589B"/>
            <w:sz w:val="20"/>
            <w:szCs w:val="20"/>
            <w:u w:val="single"/>
          </w:rPr>
          <w:t>Recall​​</w:t>
        </w:r>
      </w:hyperlink>
    </w:p>
    <w:p w:rsidR="00997D86" w:rsidRPr="00997D86" w:rsidRDefault="00997D86" w:rsidP="00997D86">
      <w:pPr>
        <w:numPr>
          <w:ilvl w:val="0"/>
          <w:numId w:val="7"/>
        </w:numPr>
        <w:shd w:val="clear" w:color="auto" w:fill="FFFFFF"/>
        <w:spacing w:before="100" w:beforeAutospacing="1" w:after="100" w:afterAutospacing="1" w:line="240" w:lineRule="auto"/>
        <w:rPr>
          <w:rFonts w:ascii="Arial" w:eastAsia="Times New Roman" w:hAnsi="Arial" w:cs="Arial"/>
          <w:color w:val="555555"/>
          <w:sz w:val="20"/>
          <w:szCs w:val="20"/>
        </w:rPr>
      </w:pPr>
      <w:hyperlink r:id="rId28" w:history="1">
        <w:r w:rsidRPr="00997D86">
          <w:rPr>
            <w:rFonts w:ascii="Arial" w:eastAsia="Times New Roman" w:hAnsi="Arial" w:cs="Arial"/>
            <w:color w:val="01589B"/>
            <w:sz w:val="20"/>
            <w:szCs w:val="20"/>
            <w:u w:val="single"/>
          </w:rPr>
          <w:t>EQIPP: Immunizations</w:t>
        </w:r>
      </w:hyperlink>
      <w:r w:rsidRPr="00997D86">
        <w:rPr>
          <w:rFonts w:ascii="Arial" w:eastAsia="Times New Roman" w:hAnsi="Arial" w:cs="Arial"/>
          <w:color w:val="555555"/>
          <w:sz w:val="20"/>
          <w:szCs w:val="20"/>
        </w:rPr>
        <w:t> </w:t>
      </w:r>
      <w:r w:rsidRPr="00997D86">
        <w:rPr>
          <w:rFonts w:ascii="Arial" w:eastAsia="Times New Roman" w:hAnsi="Arial" w:cs="Arial"/>
          <w:color w:val="555555"/>
          <w:sz w:val="20"/>
          <w:szCs w:val="20"/>
        </w:rPr>
        <w:br/>
        <w:t>This EQIPP course is designed to identify immunization rates in your practice, barriers to immunization delivery systems and techniques to overcome those barriers through the use of clear aims that reflect expert principles and proven quality improvement methods and tools.</w:t>
      </w:r>
    </w:p>
    <w:p w:rsidR="00997D86" w:rsidRPr="00997D86" w:rsidRDefault="00997D86" w:rsidP="00997D86">
      <w:pPr>
        <w:shd w:val="clear" w:color="auto" w:fill="FFFFFF"/>
        <w:spacing w:after="360" w:line="360" w:lineRule="atLeast"/>
        <w:rPr>
          <w:rFonts w:ascii="Arial" w:eastAsia="Times New Roman" w:hAnsi="Arial" w:cs="Arial"/>
          <w:color w:val="555555"/>
          <w:sz w:val="20"/>
          <w:szCs w:val="20"/>
        </w:rPr>
      </w:pPr>
      <w:r w:rsidRPr="00997D86">
        <w:rPr>
          <w:rFonts w:ascii="Arial" w:eastAsia="Times New Roman" w:hAnsi="Arial" w:cs="Arial"/>
          <w:color w:val="555555"/>
          <w:sz w:val="20"/>
          <w:szCs w:val="20"/>
        </w:rPr>
        <w:t>To discuss practice-change consider joining the Community of Immunizers Listserv. E-mail </w:t>
      </w:r>
      <w:hyperlink r:id="rId29" w:history="1">
        <w:r w:rsidRPr="00997D86">
          <w:rPr>
            <w:rFonts w:ascii="Arial" w:eastAsia="Times New Roman" w:hAnsi="Arial" w:cs="Arial"/>
            <w:color w:val="01589B"/>
            <w:sz w:val="20"/>
            <w:szCs w:val="20"/>
            <w:u w:val="single"/>
          </w:rPr>
          <w:t>immunize@aap.org</w:t>
        </w:r>
      </w:hyperlink>
      <w:r w:rsidRPr="00997D86">
        <w:rPr>
          <w:rFonts w:ascii="Arial" w:eastAsia="Times New Roman" w:hAnsi="Arial" w:cs="Arial"/>
          <w:color w:val="555555"/>
          <w:sz w:val="20"/>
          <w:szCs w:val="20"/>
        </w:rPr>
        <w:t>, to join.</w:t>
      </w:r>
    </w:p>
    <w:p w:rsidR="00E62E0B" w:rsidRDefault="00997D86"/>
    <w:sectPr w:rsidR="00E62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2A9"/>
    <w:multiLevelType w:val="multilevel"/>
    <w:tmpl w:val="211E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417D"/>
    <w:multiLevelType w:val="multilevel"/>
    <w:tmpl w:val="31E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956C0"/>
    <w:multiLevelType w:val="multilevel"/>
    <w:tmpl w:val="BC0A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C53BF"/>
    <w:multiLevelType w:val="multilevel"/>
    <w:tmpl w:val="159E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43ABD"/>
    <w:multiLevelType w:val="multilevel"/>
    <w:tmpl w:val="3B3A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B0BB5"/>
    <w:multiLevelType w:val="multilevel"/>
    <w:tmpl w:val="9356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972E0"/>
    <w:multiLevelType w:val="multilevel"/>
    <w:tmpl w:val="75F0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86"/>
    <w:rsid w:val="00553E5D"/>
    <w:rsid w:val="00622ADB"/>
    <w:rsid w:val="0099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95E5"/>
  <w15:chartTrackingRefBased/>
  <w15:docId w15:val="{A6053D90-6BD4-4E94-8A09-5E6FFDDC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77620">
      <w:bodyDiv w:val="1"/>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org/en-us/advocacy-and-policy/aap-health-initiatives/immunizations/Practice-Management/Pages/office-strategies.aspx" TargetMode="External"/><Relationship Id="rId13" Type="http://schemas.openxmlformats.org/officeDocument/2006/relationships/hyperlink" Target="http://www.immunize.org/catg.d/p3067.pdf" TargetMode="External"/><Relationship Id="rId18" Type="http://schemas.openxmlformats.org/officeDocument/2006/relationships/hyperlink" Target="https://www.aap.org/en-us/Documents/immunization_SO_cycle2.pdf" TargetMode="External"/><Relationship Id="rId26" Type="http://schemas.openxmlformats.org/officeDocument/2006/relationships/hyperlink" Target="https://www.aap.org/en-us/Documents/immunization_pdsa_missed_opportunities.pdf" TargetMode="External"/><Relationship Id="rId3" Type="http://schemas.openxmlformats.org/officeDocument/2006/relationships/settings" Target="settings.xml"/><Relationship Id="rId21" Type="http://schemas.openxmlformats.org/officeDocument/2006/relationships/hyperlink" Target="https://www.aap.org/en-us/Documents/immunization_Recall_PDSA2.pdf" TargetMode="External"/><Relationship Id="rId7" Type="http://schemas.openxmlformats.org/officeDocument/2006/relationships/hyperlink" Target="https://www.surveymonkey.com/r/55S7SVN" TargetMode="External"/><Relationship Id="rId12" Type="http://schemas.openxmlformats.org/officeDocument/2006/relationships/hyperlink" Target="http://www.immunize.org/standing-orders/" TargetMode="External"/><Relationship Id="rId17" Type="http://schemas.openxmlformats.org/officeDocument/2006/relationships/hyperlink" Target="https://www.aap.org/en-us/Documents/immunization_SO_cycle1.pdf" TargetMode="External"/><Relationship Id="rId25" Type="http://schemas.openxmlformats.org/officeDocument/2006/relationships/hyperlink" Target="https://www.aap.org/en-us/Documents/immunization_pdsa_assessment.pdf" TargetMode="External"/><Relationship Id="rId2" Type="http://schemas.openxmlformats.org/officeDocument/2006/relationships/styles" Target="styles.xml"/><Relationship Id="rId16" Type="http://schemas.openxmlformats.org/officeDocument/2006/relationships/hyperlink" Target="https://www.aap.org/en-us/Documents/immunization_SO_charter.pdf" TargetMode="External"/><Relationship Id="rId20" Type="http://schemas.openxmlformats.org/officeDocument/2006/relationships/hyperlink" Target="https://www.aap.org/en-us/Documents/immunization_Recall_PDSA1.pdf" TargetMode="External"/><Relationship Id="rId29" Type="http://schemas.openxmlformats.org/officeDocument/2006/relationships/hyperlink" Target="mailto:immunize@aap.org" TargetMode="External"/><Relationship Id="rId1" Type="http://schemas.openxmlformats.org/officeDocument/2006/relationships/numbering" Target="numbering.xml"/><Relationship Id="rId6" Type="http://schemas.openxmlformats.org/officeDocument/2006/relationships/hyperlink" Target="https://www.surveymonkey.com/r/55JGJFG" TargetMode="External"/><Relationship Id="rId11" Type="http://schemas.openxmlformats.org/officeDocument/2006/relationships/hyperlink" Target="https://www.aap.org/en-us/advocacy-and-policy/aap-health-initiatives/immunization/Pages/training-guide.aspx" TargetMode="External"/><Relationship Id="rId24" Type="http://schemas.openxmlformats.org/officeDocument/2006/relationships/hyperlink" Target="https://www.aap.org/en-us/Documents/immunization_black_cycle2.pdf" TargetMode="External"/><Relationship Id="rId5" Type="http://schemas.openxmlformats.org/officeDocument/2006/relationships/hyperlink" Target="https://www.aap.org/en-us/advocacy-and-policy/aap-health-initiatives/immunizations/Practice-Management/Pages/Change-Template-on-Strategies-to-Improve-Immunization-Rates.aspx" TargetMode="External"/><Relationship Id="rId15" Type="http://schemas.openxmlformats.org/officeDocument/2006/relationships/hyperlink" Target="http://ai-strategies.pedialink.courses.aap.org/course" TargetMode="External"/><Relationship Id="rId23" Type="http://schemas.openxmlformats.org/officeDocument/2006/relationships/hyperlink" Target="https://www.aap.org/en-us/Documents/immunization_Blank_Cycle1.pdf" TargetMode="External"/><Relationship Id="rId28" Type="http://schemas.openxmlformats.org/officeDocument/2006/relationships/hyperlink" Target="http://shop.aap.org/EQIPP-Immunizations" TargetMode="External"/><Relationship Id="rId10" Type="http://schemas.openxmlformats.org/officeDocument/2006/relationships/hyperlink" Target="https://www.aap.org/en-us/advocacy-and-policy/aap-health-initiatives/immunizations/Practice-Management/Pages/quality-improvement.aspx" TargetMode="External"/><Relationship Id="rId19" Type="http://schemas.openxmlformats.org/officeDocument/2006/relationships/hyperlink" Target="https://www.aap.org/en-us/Documents/immunization_Recall_charter.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ap.org/en-us/advocacy-and-policy/aap-health-initiatives/immunizations/Practice-Management/Pages/reminder-recall-systems.aspx" TargetMode="External"/><Relationship Id="rId14" Type="http://schemas.openxmlformats.org/officeDocument/2006/relationships/hyperlink" Target="http://www.immunize.org/catg.d/p3066.pdf" TargetMode="External"/><Relationship Id="rId22" Type="http://schemas.openxmlformats.org/officeDocument/2006/relationships/hyperlink" Target="https://www.aap.org/en-us/Documents/immunization_blank_charter.pdf" TargetMode="External"/><Relationship Id="rId27" Type="http://schemas.openxmlformats.org/officeDocument/2006/relationships/hyperlink" Target="https://www.aap.org/en-us/Documents/immunization_pdsa_recal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Benton, M.D.</dc:creator>
  <cp:keywords/>
  <dc:description/>
  <cp:lastModifiedBy>Elizabeth Benton, M.D.</cp:lastModifiedBy>
  <cp:revision>1</cp:revision>
  <dcterms:created xsi:type="dcterms:W3CDTF">2018-11-01T15:01:00Z</dcterms:created>
  <dcterms:modified xsi:type="dcterms:W3CDTF">2018-11-01T15:03:00Z</dcterms:modified>
</cp:coreProperties>
</file>